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38"/>
        <w:gridCol w:w="6379"/>
        <w:gridCol w:w="1417"/>
      </w:tblGrid>
      <w:tr w:rsidR="003C54EB" w:rsidRPr="00B04F42" w:rsidTr="00BB3AB8">
        <w:tc>
          <w:tcPr>
            <w:tcW w:w="1838" w:type="dxa"/>
            <w:shd w:val="pct15" w:color="auto" w:fill="auto"/>
          </w:tcPr>
          <w:p w:rsidR="003C54EB" w:rsidRPr="000C0524" w:rsidRDefault="003C54EB" w:rsidP="00DB76D6">
            <w:pPr>
              <w:spacing w:after="0" w:line="240" w:lineRule="auto"/>
              <w:ind w:left="360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 xml:space="preserve">1. </w:t>
            </w:r>
            <w:r w:rsidRPr="000C0524">
              <w:rPr>
                <w:rFonts w:eastAsia="Times New Roman" w:cs="Times New Roman"/>
                <w:b/>
                <w:szCs w:val="24"/>
                <w:lang w:eastAsia="hu-HU"/>
              </w:rPr>
              <w:t>feladat</w:t>
            </w:r>
          </w:p>
        </w:tc>
        <w:tc>
          <w:tcPr>
            <w:tcW w:w="6379" w:type="dxa"/>
            <w:shd w:val="pct15" w:color="auto" w:fill="auto"/>
          </w:tcPr>
          <w:p w:rsidR="003C54EB" w:rsidRPr="00083EE8" w:rsidRDefault="00BB3AB8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Vásárolt készletek (van folyamatos évközi nyilvántartás)</w:t>
            </w:r>
            <w:r w:rsidR="002B2BD8">
              <w:rPr>
                <w:rFonts w:eastAsia="Times New Roman" w:cs="Times New Roman"/>
                <w:b/>
                <w:szCs w:val="24"/>
                <w:lang w:eastAsia="hu-HU"/>
              </w:rPr>
              <w:t xml:space="preserve"> M</w:t>
            </w:r>
          </w:p>
        </w:tc>
        <w:tc>
          <w:tcPr>
            <w:tcW w:w="1417" w:type="dxa"/>
            <w:shd w:val="pct15" w:color="auto" w:fill="auto"/>
          </w:tcPr>
          <w:p w:rsidR="003C54EB" w:rsidRPr="00083EE8" w:rsidRDefault="003C54EB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961DD7" w:rsidRDefault="00961DD7"/>
    <w:p w:rsidR="00D8048C" w:rsidRDefault="00D8048C">
      <w:r>
        <w:t>Egy vállalkozás eladási áron (fogyasztói áron) nyilvántartott árukészletével kapcsolatos időszaki gazdasági események az alábbiak:</w:t>
      </w:r>
    </w:p>
    <w:p w:rsidR="00D8048C" w:rsidRDefault="00D8048C" w:rsidP="00D8048C">
      <w:pPr>
        <w:pStyle w:val="Listaszerbekezds"/>
        <w:numPr>
          <w:ilvl w:val="0"/>
          <w:numId w:val="5"/>
        </w:numPr>
      </w:pPr>
      <w:r>
        <w:t>Kiskereskedelmi árut vásárolt fogyasztói ára 8 000 </w:t>
      </w:r>
      <w:r w:rsidR="007B4656">
        <w:t>000 Ft, a számlázott vételár 5 7</w:t>
      </w:r>
      <w:r>
        <w:t>00 000 Ft + ÁFA.</w:t>
      </w:r>
    </w:p>
    <w:p w:rsidR="00D8048C" w:rsidRDefault="00D8048C" w:rsidP="00D8048C">
      <w:pPr>
        <w:pStyle w:val="Listaszerbekezds"/>
        <w:numPr>
          <w:ilvl w:val="0"/>
          <w:numId w:val="5"/>
        </w:numPr>
      </w:pPr>
      <w:r>
        <w:t>Ér</w:t>
      </w:r>
      <w:r w:rsidR="00C4169C">
        <w:t>tékesített fogyasztói áron 5 20</w:t>
      </w:r>
      <w:r>
        <w:t>7 000 Ft értékű árukészletet készpénzért.</w:t>
      </w:r>
    </w:p>
    <w:p w:rsidR="00D8048C" w:rsidRDefault="00D8048C" w:rsidP="00D8048C">
      <w:pPr>
        <w:pStyle w:val="Listaszerbekezds"/>
        <w:numPr>
          <w:ilvl w:val="0"/>
          <w:numId w:val="5"/>
        </w:numPr>
      </w:pPr>
      <w:r>
        <w:t>A vállalkozás leselejtezett 300 000 Ft értékű árut.</w:t>
      </w:r>
    </w:p>
    <w:p w:rsidR="00D8048C" w:rsidRDefault="00D8048C" w:rsidP="00D8048C">
      <w:pPr>
        <w:pStyle w:val="Listaszerbekezds"/>
        <w:numPr>
          <w:ilvl w:val="0"/>
          <w:numId w:val="5"/>
        </w:numPr>
      </w:pPr>
      <w:r>
        <w:t>Az állományváltozásra jutó árkülönbözet elszámolása.</w:t>
      </w:r>
    </w:p>
    <w:p w:rsidR="00D8048C" w:rsidRDefault="00D8048C" w:rsidP="00D8048C">
      <w:r w:rsidRPr="00D8048C">
        <w:rPr>
          <w:b/>
        </w:rPr>
        <w:t>Kiegészítő információ:</w:t>
      </w:r>
      <w:r>
        <w:t xml:space="preserve"> Az áfakulcs 27%.</w:t>
      </w:r>
    </w:p>
    <w:p w:rsidR="00D8048C" w:rsidRPr="00C75C35" w:rsidRDefault="00D8048C" w:rsidP="00D8048C">
      <w:pPr>
        <w:rPr>
          <w:b/>
        </w:rPr>
      </w:pPr>
      <w:r w:rsidRPr="00C75C35">
        <w:rPr>
          <w:b/>
        </w:rPr>
        <w:t>Feladat:</w:t>
      </w:r>
    </w:p>
    <w:p w:rsidR="00D8048C" w:rsidRDefault="00D8048C" w:rsidP="00D8048C">
      <w:pPr>
        <w:pStyle w:val="Listaszerbekezds"/>
        <w:numPr>
          <w:ilvl w:val="0"/>
          <w:numId w:val="6"/>
        </w:numPr>
      </w:pPr>
      <w:r>
        <w:t>Könyvelje le a készletekkel kapcsolatos gazdasági eseményeket!</w:t>
      </w:r>
    </w:p>
    <w:p w:rsidR="00D8048C" w:rsidRDefault="00D8048C" w:rsidP="00D8048C">
      <w:pPr>
        <w:pStyle w:val="Listaszerbekezds"/>
        <w:numPr>
          <w:ilvl w:val="0"/>
          <w:numId w:val="6"/>
        </w:numPr>
      </w:pPr>
      <w:r>
        <w:t>A szükséges egyenlegek meghatározásához használja az alábbi számlavázakat! (Ügyeljen a sorszámok és az ellenszámlák helyes feltüntetésére!)</w:t>
      </w:r>
    </w:p>
    <w:p w:rsidR="00CC5C5C" w:rsidRPr="00CC5C5C" w:rsidRDefault="00CC5C5C" w:rsidP="00CC5C5C">
      <w:pPr>
        <w:overflowPunct w:val="0"/>
        <w:autoSpaceDE w:val="0"/>
        <w:autoSpaceDN w:val="0"/>
        <w:adjustRightInd w:val="0"/>
        <w:spacing w:after="120"/>
        <w:jc w:val="both"/>
        <w:rPr>
          <w:rFonts w:eastAsia="Times New Roman" w:cs="Times New Roman"/>
          <w:b/>
          <w:noProof/>
          <w:szCs w:val="24"/>
          <w:lang w:eastAsia="hu-HU"/>
        </w:rPr>
      </w:pPr>
      <w:r w:rsidRPr="00CC5C5C">
        <w:rPr>
          <w:rFonts w:eastAsia="Times New Roman" w:cs="Times New Roman"/>
          <w:b/>
          <w:noProof/>
          <w:szCs w:val="24"/>
          <w:lang w:eastAsia="hu-HU"/>
        </w:rPr>
        <w:t>Áruk eladási áron = áruk fogyasztói áron. Fogyasztói ár = bruttó eladási ár.</w:t>
      </w:r>
    </w:p>
    <w:tbl>
      <w:tblPr>
        <w:tblStyle w:val="Rcsostblzat4"/>
        <w:tblW w:w="9209" w:type="dxa"/>
        <w:tblInd w:w="0" w:type="dxa"/>
        <w:tblLook w:val="01E0" w:firstRow="1" w:lastRow="1" w:firstColumn="1" w:lastColumn="1" w:noHBand="0" w:noVBand="0"/>
      </w:tblPr>
      <w:tblGrid>
        <w:gridCol w:w="647"/>
        <w:gridCol w:w="4168"/>
        <w:gridCol w:w="1218"/>
        <w:gridCol w:w="1210"/>
        <w:gridCol w:w="1966"/>
      </w:tblGrid>
      <w:tr w:rsidR="00CC5C5C" w:rsidRPr="004E0E9E" w:rsidTr="00F544BB">
        <w:trPr>
          <w:trHeight w:val="283"/>
        </w:trPr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noProof/>
                <w:szCs w:val="24"/>
                <w:lang w:eastAsia="hu-HU"/>
              </w:rPr>
            </w:pPr>
            <w:r w:rsidRPr="004E0E9E">
              <w:rPr>
                <w:b/>
                <w:noProof/>
                <w:szCs w:val="24"/>
                <w:lang w:eastAsia="hu-HU"/>
              </w:rPr>
              <w:t>Ssz.</w:t>
            </w:r>
          </w:p>
        </w:tc>
        <w:tc>
          <w:tcPr>
            <w:tcW w:w="4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noProof/>
                <w:szCs w:val="24"/>
                <w:lang w:eastAsia="hu-HU"/>
              </w:rPr>
            </w:pPr>
            <w:r w:rsidRPr="004E0E9E">
              <w:rPr>
                <w:b/>
                <w:noProof/>
                <w:szCs w:val="24"/>
                <w:lang w:eastAsia="hu-HU"/>
              </w:rPr>
              <w:t>Megnevezés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noProof/>
                <w:szCs w:val="24"/>
                <w:lang w:eastAsia="hu-HU"/>
              </w:rPr>
            </w:pPr>
            <w:r w:rsidRPr="004E0E9E">
              <w:rPr>
                <w:b/>
                <w:noProof/>
                <w:szCs w:val="24"/>
                <w:lang w:eastAsia="hu-HU"/>
              </w:rPr>
              <w:t>Számla</w:t>
            </w:r>
          </w:p>
        </w:tc>
        <w:tc>
          <w:tcPr>
            <w:tcW w:w="1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noProof/>
                <w:szCs w:val="24"/>
                <w:lang w:eastAsia="hu-HU"/>
              </w:rPr>
            </w:pPr>
            <w:r w:rsidRPr="004E0E9E">
              <w:rPr>
                <w:b/>
                <w:noProof/>
                <w:szCs w:val="24"/>
                <w:lang w:eastAsia="hu-HU"/>
              </w:rPr>
              <w:t>Összeg</w:t>
            </w:r>
          </w:p>
        </w:tc>
      </w:tr>
      <w:tr w:rsidR="00CC5C5C" w:rsidRPr="004E0E9E" w:rsidTr="00F544B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C5C" w:rsidRPr="004E0E9E" w:rsidRDefault="00CC5C5C" w:rsidP="00F544BB">
            <w:pPr>
              <w:rPr>
                <w:b/>
                <w:noProof/>
                <w:szCs w:val="24"/>
                <w:lang w:eastAsia="hu-HU"/>
              </w:rPr>
            </w:pPr>
          </w:p>
        </w:tc>
        <w:tc>
          <w:tcPr>
            <w:tcW w:w="4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C5C" w:rsidRPr="004E0E9E" w:rsidRDefault="00CC5C5C" w:rsidP="00F544BB">
            <w:pPr>
              <w:rPr>
                <w:b/>
                <w:noProof/>
                <w:szCs w:val="24"/>
                <w:lang w:eastAsia="hu-HU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noProof/>
                <w:szCs w:val="24"/>
                <w:lang w:eastAsia="hu-HU"/>
              </w:rPr>
            </w:pPr>
            <w:r w:rsidRPr="004E0E9E">
              <w:rPr>
                <w:b/>
                <w:noProof/>
                <w:szCs w:val="24"/>
                <w:lang w:eastAsia="hu-HU"/>
              </w:rPr>
              <w:t>Tartozik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noProof/>
                <w:szCs w:val="24"/>
                <w:lang w:eastAsia="hu-HU"/>
              </w:rPr>
            </w:pPr>
            <w:r w:rsidRPr="004E0E9E">
              <w:rPr>
                <w:b/>
                <w:noProof/>
                <w:szCs w:val="24"/>
                <w:lang w:eastAsia="hu-HU"/>
              </w:rPr>
              <w:t>Követel</w:t>
            </w:r>
          </w:p>
        </w:tc>
        <w:tc>
          <w:tcPr>
            <w:tcW w:w="1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C5C" w:rsidRPr="004E0E9E" w:rsidRDefault="00CC5C5C" w:rsidP="00F544BB">
            <w:pPr>
              <w:rPr>
                <w:b/>
                <w:noProof/>
                <w:szCs w:val="24"/>
                <w:lang w:eastAsia="hu-HU"/>
              </w:rPr>
            </w:pPr>
          </w:p>
        </w:tc>
      </w:tr>
      <w:tr w:rsidR="00CC5C5C" w:rsidRPr="004E0E9E" w:rsidTr="00F544B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1.</w:t>
            </w:r>
          </w:p>
        </w:tc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Beszerzés számlázott áron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265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454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7B4656" w:rsidP="00F544BB">
            <w:pPr>
              <w:overflowPunct w:val="0"/>
              <w:autoSpaceDE w:val="0"/>
              <w:autoSpaceDN w:val="0"/>
              <w:adjustRightInd w:val="0"/>
              <w:ind w:right="177"/>
              <w:jc w:val="right"/>
              <w:rPr>
                <w:noProof/>
                <w:szCs w:val="24"/>
                <w:lang w:eastAsia="hu-HU"/>
              </w:rPr>
            </w:pPr>
            <w:r>
              <w:rPr>
                <w:noProof/>
                <w:szCs w:val="24"/>
                <w:lang w:eastAsia="hu-HU"/>
              </w:rPr>
              <w:t>5 7</w:t>
            </w:r>
            <w:bookmarkStart w:id="0" w:name="_GoBack"/>
            <w:bookmarkEnd w:id="0"/>
            <w:r w:rsidR="00CC5C5C" w:rsidRPr="004E0E9E">
              <w:rPr>
                <w:noProof/>
                <w:szCs w:val="24"/>
                <w:lang w:eastAsia="hu-HU"/>
              </w:rPr>
              <w:t>00 000</w:t>
            </w:r>
          </w:p>
        </w:tc>
      </w:tr>
      <w:tr w:rsidR="00CC5C5C" w:rsidRPr="004E0E9E" w:rsidTr="00F544B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</w:p>
        </w:tc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Előzetesen felszámított áfa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466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454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ind w:right="177"/>
              <w:jc w:val="right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1 539 000</w:t>
            </w:r>
          </w:p>
        </w:tc>
      </w:tr>
      <w:tr w:rsidR="00CC5C5C" w:rsidRPr="004E0E9E" w:rsidTr="00F544B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</w:p>
        </w:tc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Beszerzés fogyasztói áron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264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265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ind w:right="177"/>
              <w:jc w:val="right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8 000 000</w:t>
            </w:r>
          </w:p>
        </w:tc>
      </w:tr>
      <w:tr w:rsidR="00CC5C5C" w:rsidRPr="004E0E9E" w:rsidTr="00F544B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2.</w:t>
            </w:r>
          </w:p>
        </w:tc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Értékesítés árbevétele (fogyasztói áras)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381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91-92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ind w:right="177"/>
              <w:jc w:val="right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5 207 000</w:t>
            </w:r>
          </w:p>
        </w:tc>
      </w:tr>
      <w:tr w:rsidR="00CC5C5C" w:rsidRPr="004E0E9E" w:rsidTr="00F544B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</w:p>
        </w:tc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Fizetendő áfa „kiemelése”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91-92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467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ind w:right="177"/>
              <w:jc w:val="right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1 107 000</w:t>
            </w:r>
          </w:p>
        </w:tc>
      </w:tr>
      <w:tr w:rsidR="00CC5C5C" w:rsidRPr="004E0E9E" w:rsidTr="00F544B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</w:p>
        </w:tc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ELÁBÉ fogyasztói áron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814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264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ind w:right="177"/>
              <w:jc w:val="right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5 207 000</w:t>
            </w:r>
          </w:p>
        </w:tc>
      </w:tr>
      <w:tr w:rsidR="00CC5C5C" w:rsidRPr="004E0E9E" w:rsidTr="00F544B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3.</w:t>
            </w:r>
          </w:p>
        </w:tc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Selejtezés fogyasztói áron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869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264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ind w:right="177"/>
              <w:jc w:val="right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300 000</w:t>
            </w:r>
          </w:p>
        </w:tc>
      </w:tr>
      <w:tr w:rsidR="00CC5C5C" w:rsidRPr="004E0E9E" w:rsidTr="00F544B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4.</w:t>
            </w:r>
          </w:p>
        </w:tc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ELÁBÉ-ra jutó árrés</w:t>
            </w:r>
          </w:p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(5 207 000 Ft × 0,2875)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265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814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ind w:right="177"/>
              <w:jc w:val="right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1 497 013</w:t>
            </w:r>
          </w:p>
        </w:tc>
      </w:tr>
      <w:tr w:rsidR="00CC5C5C" w:rsidRPr="004E0E9E" w:rsidTr="00F544BB">
        <w:trPr>
          <w:trHeight w:val="34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</w:p>
        </w:tc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Selejtezésre jutó árrés</w:t>
            </w:r>
          </w:p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(300 000 Ft × 0,2875)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265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869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ind w:right="177"/>
              <w:jc w:val="right"/>
              <w:rPr>
                <w:noProof/>
                <w:szCs w:val="24"/>
                <w:lang w:eastAsia="hu-HU"/>
              </w:rPr>
            </w:pPr>
            <w:r w:rsidRPr="004E0E9E">
              <w:rPr>
                <w:noProof/>
                <w:szCs w:val="24"/>
                <w:lang w:eastAsia="hu-HU"/>
              </w:rPr>
              <w:t>86 250</w:t>
            </w:r>
          </w:p>
        </w:tc>
      </w:tr>
    </w:tbl>
    <w:p w:rsidR="00CC5C5C" w:rsidRPr="00CC5C5C" w:rsidRDefault="00CC5C5C" w:rsidP="00CC5C5C">
      <w:pPr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noProof/>
          <w:szCs w:val="24"/>
          <w:lang w:eastAsia="hu-HU"/>
        </w:rPr>
      </w:pPr>
    </w:p>
    <w:p w:rsidR="00CC5C5C" w:rsidRDefault="00CC5C5C" w:rsidP="00CC5C5C">
      <w:pPr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noProof/>
          <w:szCs w:val="24"/>
          <w:lang w:eastAsia="hu-HU"/>
        </w:rPr>
      </w:pPr>
      <w:r w:rsidRPr="00CC5C5C">
        <w:rPr>
          <w:rFonts w:eastAsia="Times New Roman" w:cs="Times New Roman"/>
          <w:noProof/>
          <w:szCs w:val="24"/>
          <w:lang w:eastAsia="hu-HU"/>
        </w:rPr>
        <w:t>Árrés / pótlékkulcs meghatározása:</w:t>
      </w:r>
    </w:p>
    <w:p w:rsidR="008F6792" w:rsidRPr="00CC5C5C" w:rsidRDefault="008F6792" w:rsidP="00CC5C5C">
      <w:pPr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noProof/>
          <w:szCs w:val="24"/>
          <w:lang w:eastAsia="hu-HU"/>
        </w:rPr>
      </w:pPr>
    </w:p>
    <w:tbl>
      <w:tblPr>
        <w:tblStyle w:val="Tblzategyszer11"/>
        <w:tblW w:w="920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053"/>
        <w:gridCol w:w="2053"/>
        <w:gridCol w:w="1049"/>
        <w:gridCol w:w="2027"/>
        <w:gridCol w:w="2027"/>
      </w:tblGrid>
      <w:tr w:rsidR="00CC5C5C" w:rsidRPr="007415A7" w:rsidTr="00F544BB">
        <w:tc>
          <w:tcPr>
            <w:tcW w:w="4106" w:type="dxa"/>
            <w:gridSpan w:val="2"/>
            <w:tcBorders>
              <w:bottom w:val="single" w:sz="4" w:space="0" w:color="auto"/>
            </w:tcBorders>
          </w:tcPr>
          <w:p w:rsidR="00CC5C5C" w:rsidRPr="007415A7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noProof/>
                <w:szCs w:val="24"/>
                <w:shd w:val="clear" w:color="auto" w:fill="FFFFFF"/>
              </w:rPr>
            </w:pPr>
            <w:r w:rsidRPr="007415A7">
              <w:rPr>
                <w:b/>
                <w:noProof/>
                <w:szCs w:val="24"/>
                <w:shd w:val="clear" w:color="auto" w:fill="FFFFFF"/>
              </w:rPr>
              <w:t>264.</w:t>
            </w:r>
          </w:p>
        </w:tc>
        <w:tc>
          <w:tcPr>
            <w:tcW w:w="1049" w:type="dxa"/>
          </w:tcPr>
          <w:p w:rsidR="00CC5C5C" w:rsidRPr="007415A7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noProof/>
                <w:szCs w:val="24"/>
                <w:shd w:val="clear" w:color="auto" w:fill="FFFFFF"/>
              </w:rPr>
            </w:pPr>
          </w:p>
        </w:tc>
        <w:tc>
          <w:tcPr>
            <w:tcW w:w="4054" w:type="dxa"/>
            <w:gridSpan w:val="2"/>
            <w:tcBorders>
              <w:bottom w:val="single" w:sz="4" w:space="0" w:color="auto"/>
            </w:tcBorders>
          </w:tcPr>
          <w:p w:rsidR="00CC5C5C" w:rsidRPr="007415A7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noProof/>
                <w:szCs w:val="24"/>
                <w:shd w:val="clear" w:color="auto" w:fill="FFFFFF"/>
              </w:rPr>
            </w:pPr>
            <w:r w:rsidRPr="007415A7">
              <w:rPr>
                <w:b/>
                <w:noProof/>
                <w:szCs w:val="24"/>
                <w:shd w:val="clear" w:color="auto" w:fill="FFFFFF"/>
              </w:rPr>
              <w:t>265.</w:t>
            </w:r>
          </w:p>
        </w:tc>
      </w:tr>
      <w:tr w:rsidR="00CC5C5C" w:rsidRPr="004E0E9E" w:rsidTr="00F544BB">
        <w:tc>
          <w:tcPr>
            <w:tcW w:w="2053" w:type="dxa"/>
            <w:tcBorders>
              <w:top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right"/>
              <w:rPr>
                <w:noProof/>
                <w:szCs w:val="24"/>
                <w:shd w:val="clear" w:color="auto" w:fill="FFFFFF"/>
              </w:rPr>
            </w:pPr>
            <w:r w:rsidRPr="004E0E9E">
              <w:rPr>
                <w:noProof/>
                <w:szCs w:val="24"/>
                <w:shd w:val="clear" w:color="auto" w:fill="FFFFFF"/>
              </w:rPr>
              <w:t>1/265   8 000 000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right"/>
              <w:rPr>
                <w:noProof/>
                <w:szCs w:val="24"/>
                <w:shd w:val="clear" w:color="auto" w:fill="FFFFFF"/>
              </w:rPr>
            </w:pPr>
          </w:p>
        </w:tc>
        <w:tc>
          <w:tcPr>
            <w:tcW w:w="1049" w:type="dxa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right"/>
              <w:rPr>
                <w:noProof/>
                <w:szCs w:val="24"/>
                <w:shd w:val="clear" w:color="auto" w:fill="FFFFFF"/>
              </w:rPr>
            </w:pPr>
          </w:p>
        </w:tc>
        <w:tc>
          <w:tcPr>
            <w:tcW w:w="2027" w:type="dxa"/>
            <w:tcBorders>
              <w:top w:val="single" w:sz="4" w:space="0" w:color="auto"/>
              <w:righ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right"/>
              <w:rPr>
                <w:noProof/>
                <w:szCs w:val="24"/>
                <w:shd w:val="clear" w:color="auto" w:fill="FFFFFF"/>
              </w:rPr>
            </w:pPr>
            <w:r w:rsidRPr="004E0E9E">
              <w:rPr>
                <w:noProof/>
                <w:szCs w:val="24"/>
                <w:shd w:val="clear" w:color="auto" w:fill="FFFFFF"/>
              </w:rPr>
              <w:t>1/454   5 700 000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</w:tcBorders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right"/>
              <w:rPr>
                <w:noProof/>
                <w:szCs w:val="24"/>
                <w:shd w:val="clear" w:color="auto" w:fill="FFFFFF"/>
              </w:rPr>
            </w:pPr>
            <w:r w:rsidRPr="004E0E9E">
              <w:rPr>
                <w:noProof/>
                <w:szCs w:val="24"/>
                <w:shd w:val="clear" w:color="auto" w:fill="FFFFFF"/>
              </w:rPr>
              <w:t>1/264   8 000 000</w:t>
            </w:r>
          </w:p>
        </w:tc>
      </w:tr>
      <w:tr w:rsidR="00CC5C5C" w:rsidRPr="004E0E9E" w:rsidTr="00F544BB">
        <w:tc>
          <w:tcPr>
            <w:tcW w:w="4106" w:type="dxa"/>
            <w:gridSpan w:val="2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shd w:val="clear" w:color="auto" w:fill="FFFFFF"/>
              </w:rPr>
            </w:pPr>
            <w:r>
              <w:rPr>
                <w:noProof/>
                <w:szCs w:val="24"/>
                <w:shd w:val="clear" w:color="auto" w:fill="FFFFFF"/>
              </w:rPr>
              <w:t>Te: 8 000 000</w:t>
            </w:r>
          </w:p>
        </w:tc>
        <w:tc>
          <w:tcPr>
            <w:tcW w:w="1049" w:type="dxa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right"/>
              <w:rPr>
                <w:noProof/>
                <w:szCs w:val="24"/>
                <w:shd w:val="clear" w:color="auto" w:fill="FFFFFF"/>
              </w:rPr>
            </w:pPr>
          </w:p>
        </w:tc>
        <w:tc>
          <w:tcPr>
            <w:tcW w:w="4054" w:type="dxa"/>
            <w:gridSpan w:val="2"/>
          </w:tcPr>
          <w:p w:rsidR="00CC5C5C" w:rsidRPr="004E0E9E" w:rsidRDefault="00CC5C5C" w:rsidP="00F544BB">
            <w:pPr>
              <w:overflowPunct w:val="0"/>
              <w:autoSpaceDE w:val="0"/>
              <w:autoSpaceDN w:val="0"/>
              <w:adjustRightInd w:val="0"/>
              <w:jc w:val="center"/>
              <w:rPr>
                <w:noProof/>
                <w:szCs w:val="24"/>
                <w:shd w:val="clear" w:color="auto" w:fill="FFFFFF"/>
              </w:rPr>
            </w:pPr>
            <w:r>
              <w:rPr>
                <w:noProof/>
                <w:szCs w:val="24"/>
                <w:shd w:val="clear" w:color="auto" w:fill="FFFFFF"/>
              </w:rPr>
              <w:t>Ke: 2 300 000</w:t>
            </w:r>
          </w:p>
        </w:tc>
      </w:tr>
    </w:tbl>
    <w:p w:rsidR="00CC5C5C" w:rsidRPr="00CC5C5C" w:rsidRDefault="00CC5C5C" w:rsidP="00CC5C5C">
      <w:pPr>
        <w:pStyle w:val="Listaszerbekezds"/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noProof/>
          <w:szCs w:val="24"/>
          <w:lang w:eastAsia="hu-HU"/>
        </w:rPr>
      </w:pPr>
    </w:p>
    <w:p w:rsidR="00CC5C5C" w:rsidRPr="00CC5C5C" w:rsidRDefault="00CC5C5C" w:rsidP="00CC5C5C">
      <w:pPr>
        <w:pStyle w:val="Listaszerbekezds"/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noProof/>
          <w:szCs w:val="24"/>
          <w:lang w:eastAsia="hu-HU"/>
        </w:rPr>
      </w:pPr>
      <m:oMathPara>
        <m:oMath>
          <m:r>
            <m:rPr>
              <m:sty m:val="p"/>
            </m:rPr>
            <w:rPr>
              <w:rFonts w:ascii="Cambria Math" w:eastAsia="Times New Roman" w:hAnsi="Cambria Math" w:cs="Times New Roman"/>
              <w:noProof/>
              <w:szCs w:val="24"/>
              <w:lang w:eastAsia="hu-HU"/>
            </w:rPr>
            <m:t xml:space="preserve">árrés= </m:t>
          </m:r>
          <m:f>
            <m:fPr>
              <m:ctrlPr>
                <w:rPr>
                  <w:rFonts w:ascii="Cambria Math" w:eastAsia="Times New Roman" w:hAnsi="Cambria Math" w:cs="Times New Roman"/>
                  <w:noProof/>
                  <w:szCs w:val="24"/>
                  <w:lang w:eastAsia="hu-H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noProof/>
                  <w:szCs w:val="24"/>
                  <w:lang w:eastAsia="hu-HU"/>
                </w:rPr>
                <m:t>265. Ke. (-)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noProof/>
                  <w:szCs w:val="24"/>
                  <w:lang w:eastAsia="hu-HU"/>
                </w:rPr>
                <m:t>264. Ny+Beszerzés-Visszaküldés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Times New Roman"/>
              <w:noProof/>
              <w:szCs w:val="24"/>
              <w:lang w:eastAsia="hu-H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noProof/>
                  <w:szCs w:val="24"/>
                  <w:lang w:eastAsia="hu-H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noProof/>
                  <w:szCs w:val="24"/>
                  <w:lang w:eastAsia="hu-HU"/>
                </w:rPr>
                <m:t>2 300 000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noProof/>
                  <w:szCs w:val="24"/>
                  <w:lang w:eastAsia="hu-HU"/>
                </w:rPr>
                <m:t>8 000 000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Times New Roman"/>
              <w:noProof/>
              <w:szCs w:val="24"/>
              <w:lang w:eastAsia="hu-HU"/>
            </w:rPr>
            <m:t>=0,2875 azaz 28,75%</m:t>
          </m:r>
        </m:oMath>
      </m:oMathPara>
    </w:p>
    <w:p w:rsidR="00CC5C5C" w:rsidRPr="00CC5C5C" w:rsidRDefault="00CC5C5C" w:rsidP="00CC5C5C">
      <w:pPr>
        <w:overflowPunct w:val="0"/>
        <w:autoSpaceDE w:val="0"/>
        <w:autoSpaceDN w:val="0"/>
        <w:adjustRightInd w:val="0"/>
        <w:spacing w:before="120" w:after="0"/>
        <w:ind w:left="360"/>
        <w:jc w:val="both"/>
        <w:rPr>
          <w:rFonts w:eastAsia="Times New Roman" w:cs="Times New Roman"/>
          <w:b/>
          <w:noProof/>
          <w:szCs w:val="24"/>
          <w:lang w:eastAsia="hu-HU"/>
        </w:rPr>
      </w:pPr>
    </w:p>
    <w:p w:rsidR="00D8048C" w:rsidRPr="00CC5C5C" w:rsidRDefault="00CC5C5C" w:rsidP="00CC5C5C">
      <w:pPr>
        <w:overflowPunct w:val="0"/>
        <w:autoSpaceDE w:val="0"/>
        <w:autoSpaceDN w:val="0"/>
        <w:adjustRightInd w:val="0"/>
        <w:spacing w:before="120" w:after="0"/>
        <w:ind w:left="360"/>
        <w:jc w:val="both"/>
        <w:rPr>
          <w:rFonts w:eastAsia="Times New Roman" w:cs="Times New Roman"/>
          <w:b/>
          <w:noProof/>
          <w:szCs w:val="24"/>
          <w:lang w:eastAsia="hu-HU"/>
        </w:rPr>
      </w:pPr>
      <w:r w:rsidRPr="00CC5C5C">
        <w:rPr>
          <w:rFonts w:eastAsia="Times New Roman" w:cs="Times New Roman"/>
          <w:b/>
          <w:noProof/>
          <w:szCs w:val="24"/>
          <w:lang w:eastAsia="hu-HU"/>
        </w:rPr>
        <w:t xml:space="preserve">A </w:t>
      </w:r>
      <w:r w:rsidRPr="00CC5C5C">
        <w:rPr>
          <w:rFonts w:eastAsia="Times New Roman" w:cs="Times New Roman"/>
          <w:b/>
          <w:i/>
          <w:noProof/>
          <w:szCs w:val="24"/>
          <w:lang w:eastAsia="hu-HU"/>
        </w:rPr>
        <w:t>265. Áruk árrése</w:t>
      </w:r>
      <w:r w:rsidRPr="00CC5C5C">
        <w:rPr>
          <w:rFonts w:eastAsia="Times New Roman" w:cs="Times New Roman"/>
          <w:b/>
          <w:noProof/>
          <w:szCs w:val="24"/>
          <w:lang w:eastAsia="hu-HU"/>
        </w:rPr>
        <w:t xml:space="preserve"> számlának kizárólag K egyenlege (kedvező) lehet, ezért annak előjelét (-) nem szokás kiírni a számítás során. A K egyenleg következtében fogyasztói áron számolt ráfordítást csökkenteni kell az árrés mértékével.</w:t>
      </w:r>
    </w:p>
    <w:sectPr w:rsidR="00D8048C" w:rsidRPr="00CC5C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9441E"/>
    <w:multiLevelType w:val="hybridMultilevel"/>
    <w:tmpl w:val="C7CC598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D52E6"/>
    <w:multiLevelType w:val="hybridMultilevel"/>
    <w:tmpl w:val="0C44D9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E2AFF"/>
    <w:multiLevelType w:val="hybridMultilevel"/>
    <w:tmpl w:val="427E440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A321B"/>
    <w:multiLevelType w:val="hybridMultilevel"/>
    <w:tmpl w:val="DFBCDBA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BB270C"/>
    <w:multiLevelType w:val="hybridMultilevel"/>
    <w:tmpl w:val="575E18A4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854B1"/>
    <w:multiLevelType w:val="hybridMultilevel"/>
    <w:tmpl w:val="9244CF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4EB"/>
    <w:rsid w:val="000C14B1"/>
    <w:rsid w:val="000F5D2F"/>
    <w:rsid w:val="00162AC2"/>
    <w:rsid w:val="00235857"/>
    <w:rsid w:val="00246B0E"/>
    <w:rsid w:val="002B2BD8"/>
    <w:rsid w:val="002F5B45"/>
    <w:rsid w:val="003C54EB"/>
    <w:rsid w:val="003E47EB"/>
    <w:rsid w:val="00446351"/>
    <w:rsid w:val="007B4656"/>
    <w:rsid w:val="0081031A"/>
    <w:rsid w:val="008F6792"/>
    <w:rsid w:val="00961DD7"/>
    <w:rsid w:val="00A539EE"/>
    <w:rsid w:val="00A91EFF"/>
    <w:rsid w:val="00B13A20"/>
    <w:rsid w:val="00BB3AB8"/>
    <w:rsid w:val="00C4169C"/>
    <w:rsid w:val="00C75C35"/>
    <w:rsid w:val="00CC5C5C"/>
    <w:rsid w:val="00D8048C"/>
    <w:rsid w:val="00EB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CF04A5-F448-4B27-B5EF-04F6EC629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C54EB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C54EB"/>
    <w:pPr>
      <w:ind w:left="720"/>
      <w:contextualSpacing/>
    </w:pPr>
  </w:style>
  <w:style w:type="table" w:customStyle="1" w:styleId="Rcsostblzat1">
    <w:name w:val="Rácsos táblázat1"/>
    <w:basedOn w:val="Normltblzat"/>
    <w:uiPriority w:val="59"/>
    <w:rsid w:val="00A91EF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4">
    <w:name w:val="Rácsos táblázat4"/>
    <w:basedOn w:val="Normltblzat"/>
    <w:next w:val="Rcsostblzat"/>
    <w:uiPriority w:val="59"/>
    <w:rsid w:val="004463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39"/>
    <w:rsid w:val="00446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egyszer11">
    <w:name w:val="Táblázat (egyszerű) 11"/>
    <w:basedOn w:val="Normltblzat"/>
    <w:next w:val="Tblzategyszer1"/>
    <w:uiPriority w:val="41"/>
    <w:rsid w:val="00CC5C5C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blzategyszer1">
    <w:name w:val="Plain Table 1"/>
    <w:basedOn w:val="Normltblzat"/>
    <w:uiPriority w:val="41"/>
    <w:rsid w:val="00CC5C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86613-150B-402A-84CD-898CA9010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228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Windows-felhasználó</cp:lastModifiedBy>
  <cp:revision>6</cp:revision>
  <dcterms:created xsi:type="dcterms:W3CDTF">2024-03-16T14:41:00Z</dcterms:created>
  <dcterms:modified xsi:type="dcterms:W3CDTF">2024-04-09T15:52:00Z</dcterms:modified>
</cp:coreProperties>
</file>